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31.2" w:lineRule="auto"/>
        <w:ind w:left="80" w:firstLine="0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i w:val="1"/>
          <w:sz w:val="21"/>
          <w:szCs w:val="21"/>
        </w:rPr>
      </w:pPr>
      <w:r w:rsidDel="00000000" w:rsidR="00000000" w:rsidRPr="00000000">
        <w:rPr>
          <w:i w:val="1"/>
          <w:rtl w:val="0"/>
        </w:rPr>
        <w:br w:type="textWrapping"/>
      </w:r>
      <w:r w:rsidDel="00000000" w:rsidR="00000000" w:rsidRPr="00000000">
        <w:rPr>
          <w:i w:val="1"/>
          <w:sz w:val="21"/>
          <w:szCs w:val="21"/>
          <w:rtl w:val="0"/>
        </w:rPr>
        <w:t xml:space="preserve">Victim/Suspect reveals a shocking pattern nationwide: Young women tell the police they’ve been sexually assaulted, but instead of finding justice, they’re charged with the crime of making a false report, arrested, and even imprisoned by the system they believed would protect them.</w:t>
      </w:r>
    </w:p>
    <w:p w:rsidR="00000000" w:rsidDel="00000000" w:rsidP="00000000" w:rsidRDefault="00000000" w:rsidRPr="00000000" w14:paraId="0000000A">
      <w:pPr>
        <w:rPr>
          <w:i w:val="1"/>
          <w:sz w:val="21"/>
          <w:szCs w:val="21"/>
          <w:highlight w:val="white"/>
        </w:rPr>
      </w:pPr>
      <w:r w:rsidDel="00000000" w:rsidR="00000000" w:rsidRPr="00000000">
        <w:rPr>
          <w:i w:val="1"/>
          <w:sz w:val="21"/>
          <w:szCs w:val="21"/>
          <w:rtl w:val="0"/>
        </w:rPr>
        <w:t xml:space="preserve">Police can lie about what evidence they have — or even that evidence exists — in order to pressure you into giving a confession. Remember: Anything you say can be used against you.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31.2" w:lineRule="auto"/>
        <w:ind w:left="0" w:firstLine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70.0" w:type="dxa"/>
        <w:jc w:val="left"/>
        <w:tblInd w:w="80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1005"/>
        <w:gridCol w:w="8265"/>
        <w:tblGridChange w:id="0">
          <w:tblGrid>
            <w:gridCol w:w="1005"/>
            <w:gridCol w:w="82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sz w:val="21"/>
                <w:szCs w:val="21"/>
                <w:highlight w:val="white"/>
              </w:rPr>
              <w:drawing>
                <wp:inline distB="114300" distT="114300" distL="114300" distR="114300">
                  <wp:extent cx="391759" cy="391759"/>
                  <wp:effectExtent b="0" l="0" r="0" t="0"/>
                  <wp:docPr id="6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6"/>
                          <a:srcRect b="326" l="0" r="0" t="3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759" cy="3917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Police can lie about what evidence they have — or even that evidence exists — while interviewing you. Remember: Anything you say can be used against you.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sz w:val="21"/>
                <w:szCs w:val="21"/>
                <w:highlight w:val="white"/>
              </w:rPr>
              <w:drawing>
                <wp:inline distB="114300" distT="114300" distL="114300" distR="114300">
                  <wp:extent cx="393192" cy="393192"/>
                  <wp:effectExtent b="0" l="0" r="0" t="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326" l="0" r="0" t="3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92" cy="3931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Consider having another person with you when interacting with the police — either a lawyer, a victim’s advocate or both.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sz w:val="21"/>
                <w:szCs w:val="21"/>
                <w:highlight w:val="white"/>
              </w:rPr>
              <w:drawing>
                <wp:inline distB="114300" distT="114300" distL="114300" distR="114300">
                  <wp:extent cx="393192" cy="393192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326" l="0" r="0" t="3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92" cy="3931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“I don’t remember” or “I don’t know” is a legitimate answer to any question asked by law enforcement. You can ask for a break or end the interview at any time.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sz w:val="21"/>
                <w:szCs w:val="21"/>
                <w:highlight w:val="white"/>
              </w:rPr>
              <w:drawing>
                <wp:inline distB="114300" distT="114300" distL="114300" distR="114300">
                  <wp:extent cx="393192" cy="393192"/>
                  <wp:effectExtent b="0" l="0" r="0" t="0"/>
                  <wp:docPr id="4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92" cy="3931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Watch for signs that you are being treated as a suspect rather than a victim:</w:t>
              <w:br w:type="textWrapping"/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The investigator asks to download a copy of your cell phone.</w:t>
              <w:br w:type="textWrapping"/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The investigator presents a hypothetical to you "What if I told you I had X evidence?" "What do you think the suspect would tell me about what had occurred."</w:t>
              <w:br w:type="textWrapping"/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You are being asked the same questions repeatedly.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sz w:val="21"/>
                <w:szCs w:val="21"/>
                <w:highlight w:val="white"/>
              </w:rPr>
              <w:drawing>
                <wp:inline distB="114300" distT="114300" distL="114300" distR="114300">
                  <wp:extent cx="393192" cy="393192"/>
                  <wp:effectExtent b="0" l="0" r="0" t="0"/>
                  <wp:docPr id="1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 b="326" l="0" r="0" t="3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92" cy="3931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You are not obligated to agree to participate in the investigation or prosecution process during the interview.</w:t>
            </w:r>
          </w:p>
        </w:tc>
      </w:tr>
    </w:tbl>
    <w:p w:rsidR="00000000" w:rsidDel="00000000" w:rsidP="00000000" w:rsidRDefault="00000000" w:rsidRPr="00000000" w14:paraId="00000019">
      <w:pPr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rPr/>
      </w:pPr>
      <w:r w:rsidDel="00000000" w:rsidR="00000000" w:rsidRPr="00000000">
        <w:rPr>
          <w:b w:val="1"/>
          <w:i w:val="1"/>
          <w:sz w:val="21"/>
          <w:szCs w:val="21"/>
          <w:rtl w:val="0"/>
        </w:rPr>
        <w:t xml:space="preserve">Note: </w:t>
      </w:r>
      <w:r w:rsidDel="00000000" w:rsidR="00000000" w:rsidRPr="00000000">
        <w:rPr>
          <w:i w:val="1"/>
          <w:sz w:val="21"/>
          <w:szCs w:val="21"/>
          <w:rtl w:val="0"/>
        </w:rPr>
        <w:t xml:space="preserve">None of the above is legal advice, and you should seek your own counsel, if you think you are becoming a suspect.</w:t>
      </w:r>
      <w:r w:rsidDel="00000000" w:rsidR="00000000" w:rsidRPr="00000000">
        <w:rPr>
          <w:sz w:val="21"/>
          <w:szCs w:val="21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b w:val="1"/>
          <w:rtl w:val="0"/>
        </w:rPr>
        <w:t xml:space="preserve">Want to learn more?</w:t>
      </w:r>
      <w:r w:rsidDel="00000000" w:rsidR="00000000" w:rsidRPr="00000000">
        <w:rPr>
          <w:rtl w:val="0"/>
        </w:rPr>
        <w:t xml:space="preserve"> Visit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victimsuspect.com</w:t>
        </w:r>
      </w:hyperlink>
      <w:r w:rsidDel="00000000" w:rsidR="00000000" w:rsidRPr="00000000">
        <w:rPr>
          <w:rtl w:val="0"/>
        </w:rPr>
        <w:t xml:space="preserve"> for more information about the documentary Victim/Suspect and its accompanying resources. </w:t>
      </w:r>
      <w:r w:rsidDel="00000000" w:rsidR="00000000" w:rsidRPr="00000000">
        <w:rPr>
          <w:rtl w:val="0"/>
        </w:rPr>
      </w:r>
    </w:p>
    <w:sectPr>
      <w:headerReference r:id="rId12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margin">
            <wp:posOffset>-671512</wp:posOffset>
          </wp:positionH>
          <wp:positionV relativeFrom="margin">
            <wp:posOffset>-676274</wp:posOffset>
          </wp:positionV>
          <wp:extent cx="7281863" cy="2430322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81863" cy="243032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www.victimsuspect.com" TargetMode="External"/><Relationship Id="rId10" Type="http://schemas.openxmlformats.org/officeDocument/2006/relationships/image" Target="media/image6.png"/><Relationship Id="rId12" Type="http://schemas.openxmlformats.org/officeDocument/2006/relationships/header" Target="head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